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single" w:color="087CD6" w:sz="12" w:space="18"/>
          <w:left w:val="none" w:color="auto" w:sz="0" w:space="0"/>
          <w:bottom w:val="none" w:color="auto" w:sz="0" w:space="0"/>
          <w:right w:val="none" w:color="auto" w:sz="0" w:space="0"/>
        </w:pBdr>
        <w:spacing w:before="0" w:beforeAutospacing="0" w:after="0" w:afterAutospacing="0" w:line="384" w:lineRule="auto"/>
        <w:ind w:left="0" w:right="0"/>
        <w:jc w:val="center"/>
        <w:rPr>
          <w:rFonts w:hint="eastAsia" w:ascii="方正小标宋_GBK" w:hAnsi="方正小标宋_GBK" w:eastAsia="方正小标宋_GBK" w:cs="方正小标宋_GBK"/>
          <w:color w:val="333333"/>
          <w:sz w:val="44"/>
          <w:szCs w:val="44"/>
          <w:bdr w:val="none" w:color="auto" w:sz="0" w:space="0"/>
          <w:shd w:val="clear" w:fill="FFFFFF"/>
        </w:rPr>
      </w:pPr>
      <w:r>
        <w:rPr>
          <w:rFonts w:hint="eastAsia" w:ascii="方正小标宋_GBK" w:hAnsi="方正小标宋_GBK" w:eastAsia="方正小标宋_GBK" w:cs="方正小标宋_GBK"/>
          <w:color w:val="333333"/>
          <w:sz w:val="44"/>
          <w:szCs w:val="44"/>
          <w:bdr w:val="none" w:color="auto" w:sz="0" w:space="0"/>
          <w:shd w:val="clear" w:fill="FFFFFF"/>
        </w:rPr>
        <w:t>民政部关于成立第三方老年人能力</w:t>
      </w:r>
    </w:p>
    <w:p>
      <w:pPr>
        <w:pStyle w:val="2"/>
        <w:keepNext w:val="0"/>
        <w:keepLines w:val="0"/>
        <w:widowControl/>
        <w:suppressLineNumbers w:val="0"/>
        <w:pBdr>
          <w:top w:val="single" w:color="087CD6" w:sz="12" w:space="18"/>
          <w:left w:val="none" w:color="auto" w:sz="0" w:space="0"/>
          <w:bottom w:val="none" w:color="auto" w:sz="0" w:space="0"/>
          <w:right w:val="none" w:color="auto" w:sz="0" w:space="0"/>
        </w:pBdr>
        <w:spacing w:before="0" w:beforeAutospacing="0" w:after="0" w:afterAutospacing="0" w:line="384" w:lineRule="auto"/>
        <w:ind w:left="0" w:right="0"/>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color w:val="333333"/>
          <w:sz w:val="44"/>
          <w:szCs w:val="44"/>
          <w:bdr w:val="none" w:color="auto" w:sz="0" w:space="0"/>
          <w:shd w:val="clear" w:fill="FFFFFF"/>
        </w:rPr>
        <w:t>评估机构的提案答复的函</w:t>
      </w:r>
    </w:p>
    <w:p>
      <w:pPr>
        <w:keepNext w:val="0"/>
        <w:keepLines w:val="0"/>
        <w:widowControl/>
        <w:suppressLineNumbers w:val="0"/>
        <w:pBdr>
          <w:top w:val="none" w:color="auto" w:sz="0" w:space="0"/>
          <w:left w:val="none" w:color="auto" w:sz="0" w:space="0"/>
          <w:bottom w:val="dashed" w:color="EDEDED" w:sz="4" w:space="6"/>
          <w:right w:val="none" w:color="auto" w:sz="0" w:space="0"/>
        </w:pBdr>
        <w:shd w:val="clear" w:fill="FFFFFF"/>
        <w:spacing w:before="0" w:beforeAutospacing="0" w:after="0" w:afterAutospacing="0" w:line="432" w:lineRule="auto"/>
        <w:ind w:left="288" w:right="288"/>
        <w:jc w:val="left"/>
        <w:rPr>
          <w:rFonts w:hint="eastAsia" w:ascii="仿宋" w:hAnsi="仿宋" w:eastAsia="仿宋" w:cs="仿宋"/>
          <w:color w:val="333333"/>
          <w:sz w:val="32"/>
          <w:szCs w:val="32"/>
        </w:rPr>
      </w:pPr>
      <w:r>
        <w:rPr>
          <w:rFonts w:hint="eastAsia" w:ascii="仿宋" w:hAnsi="仿宋" w:eastAsia="仿宋" w:cs="仿宋"/>
          <w:color w:val="333333"/>
          <w:kern w:val="0"/>
          <w:sz w:val="32"/>
          <w:szCs w:val="32"/>
          <w:bdr w:val="none" w:color="auto" w:sz="0" w:space="0"/>
          <w:shd w:val="clear" w:fill="FFFFFF"/>
          <w:lang w:val="en-US" w:eastAsia="zh-CN" w:bidi="ar"/>
        </w:rPr>
        <w:t xml:space="preserve">时间： 2018-09-18 08:07   来源： 民政部门户网站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uto"/>
        <w:ind w:left="288" w:right="288"/>
        <w:jc w:val="left"/>
        <w:rPr>
          <w:rFonts w:hint="eastAsia" w:ascii="仿宋" w:hAnsi="仿宋" w:eastAsia="仿宋" w:cs="仿宋"/>
          <w:color w:val="333333"/>
          <w:sz w:val="32"/>
          <w:szCs w:val="32"/>
        </w:rPr>
      </w:pPr>
      <w:r>
        <w:rPr>
          <w:rFonts w:hint="eastAsia" w:ascii="仿宋" w:hAnsi="仿宋" w:eastAsia="仿宋" w:cs="仿宋"/>
          <w:kern w:val="0"/>
          <w:sz w:val="32"/>
          <w:szCs w:val="32"/>
          <w:shd w:val="clear" w:fill="FFFFFF"/>
          <w:lang w:val="en-US" w:eastAsia="zh-CN" w:bidi="ar"/>
        </w:rPr>
        <w:t> </w:t>
      </w:r>
      <w:r>
        <w:rPr>
          <w:rFonts w:hint="eastAsia" w:ascii="仿宋" w:hAnsi="仿宋" w:eastAsia="仿宋" w:cs="仿宋"/>
          <w:color w:val="333333"/>
          <w:kern w:val="0"/>
          <w:sz w:val="32"/>
          <w:szCs w:val="32"/>
          <w:bdr w:val="none" w:color="auto" w:sz="0" w:space="0"/>
          <w:shd w:val="clear" w:fill="FFFFFF"/>
          <w:lang w:val="en-US" w:eastAsia="zh-CN" w:bidi="ar"/>
        </w:rPr>
        <w:t xml:space="preserve"> </w:t>
      </w:r>
      <w:r>
        <w:rPr>
          <w:rFonts w:hint="eastAsia" w:ascii="仿宋" w:hAnsi="仿宋" w:eastAsia="仿宋" w:cs="仿宋"/>
          <w:kern w:val="0"/>
          <w:sz w:val="32"/>
          <w:szCs w:val="32"/>
          <w:shd w:val="clear" w:fill="FFFFFF"/>
          <w:lang w:val="en-US" w:eastAsia="zh-CN" w:bidi="ar"/>
        </w:rPr>
        <w:t> </w:t>
      </w:r>
      <w:r>
        <w:rPr>
          <w:rFonts w:hint="eastAsia" w:ascii="仿宋" w:hAnsi="仿宋" w:eastAsia="仿宋" w:cs="仿宋"/>
          <w:color w:val="333333"/>
          <w:kern w:val="0"/>
          <w:sz w:val="32"/>
          <w:szCs w:val="32"/>
          <w:bdr w:val="none" w:color="auto" w:sz="0" w:space="0"/>
          <w:shd w:val="clear" w:fill="FFFFFF"/>
          <w:lang w:val="en-US" w:eastAsia="zh-CN" w:bidi="ar"/>
        </w:rPr>
        <w:t xml:space="preserve"> </w:t>
      </w:r>
      <w:r>
        <w:rPr>
          <w:rStyle w:val="10"/>
          <w:rFonts w:hint="eastAsia" w:ascii="仿宋" w:hAnsi="仿宋" w:eastAsia="仿宋" w:cs="仿宋"/>
          <w:color w:val="333333"/>
          <w:sz w:val="32"/>
          <w:szCs w:val="32"/>
          <w:bdr w:val="none" w:color="auto" w:sz="0" w:space="0"/>
          <w:shd w:val="clear" w:fill="FFFFFF"/>
          <w:lang w:val="en-US" w:eastAsia="zh-CN" w:bidi="ar"/>
        </w:rPr>
        <w:t> </w:t>
      </w:r>
      <w:r>
        <w:rPr>
          <w:rFonts w:hint="eastAsia" w:ascii="仿宋" w:hAnsi="仿宋" w:eastAsia="仿宋" w:cs="仿宋"/>
          <w:color w:val="333333"/>
          <w:kern w:val="0"/>
          <w:sz w:val="32"/>
          <w:szCs w:val="32"/>
          <w:bdr w:val="none" w:color="auto" w:sz="0" w:space="0"/>
          <w:shd w:val="clear" w:fill="FFFFFF"/>
          <w:lang w:val="en-US" w:eastAsia="zh-CN" w:bidi="ar"/>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84" w:lineRule="atLeast"/>
        <w:ind w:left="288" w:right="288"/>
        <w:jc w:val="left"/>
        <w:rPr>
          <w:rFonts w:hint="eastAsia" w:ascii="仿宋" w:hAnsi="仿宋" w:eastAsia="仿宋" w:cs="仿宋"/>
          <w:b/>
          <w:vanish/>
          <w:sz w:val="32"/>
          <w:szCs w:val="32"/>
        </w:rPr>
      </w:pPr>
      <w:r>
        <w:rPr>
          <w:rFonts w:hint="eastAsia" w:ascii="仿宋" w:hAnsi="仿宋" w:eastAsia="仿宋" w:cs="仿宋"/>
          <w:b/>
          <w:color w:val="333333"/>
          <w:sz w:val="32"/>
          <w:szCs w:val="32"/>
          <w:bdr w:val="none" w:color="auto" w:sz="0" w:space="0"/>
          <w:shd w:val="clear" w:fill="F6F6F6"/>
        </w:rPr>
        <w:t>分享到：</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288" w:right="288" w:hanging="360"/>
        <w:jc w:val="left"/>
        <w:rPr>
          <w:rFonts w:hint="eastAsia" w:ascii="仿宋" w:hAnsi="仿宋" w:eastAsia="仿宋" w:cs="仿宋"/>
          <w:vanish/>
          <w:sz w:val="32"/>
          <w:szCs w:val="32"/>
        </w:rPr>
      </w:pPr>
      <w:r>
        <w:rPr>
          <w:rFonts w:hint="eastAsia" w:ascii="仿宋" w:hAnsi="仿宋" w:eastAsia="仿宋" w:cs="仿宋"/>
          <w:color w:val="565656"/>
          <w:sz w:val="32"/>
          <w:szCs w:val="32"/>
          <w:bdr w:val="none" w:color="auto" w:sz="0" w:space="0"/>
          <w:shd w:val="clear" w:fill="FFFFFF"/>
        </w:rPr>
        <w:t>QQ空间</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288" w:right="288" w:hanging="360"/>
        <w:jc w:val="left"/>
        <w:rPr>
          <w:rFonts w:hint="eastAsia" w:ascii="仿宋" w:hAnsi="仿宋" w:eastAsia="仿宋" w:cs="仿宋"/>
          <w:vanish/>
          <w:sz w:val="32"/>
          <w:szCs w:val="32"/>
        </w:rPr>
      </w:pPr>
      <w:r>
        <w:rPr>
          <w:rFonts w:hint="eastAsia" w:ascii="仿宋" w:hAnsi="仿宋" w:eastAsia="仿宋" w:cs="仿宋"/>
          <w:color w:val="565656"/>
          <w:sz w:val="32"/>
          <w:szCs w:val="32"/>
          <w:bdr w:val="none" w:color="auto" w:sz="0" w:space="0"/>
          <w:shd w:val="clear" w:fill="FFFFFF"/>
        </w:rPr>
        <w:t>豆瓣网</w:t>
      </w:r>
    </w:p>
    <w:p>
      <w:pPr>
        <w:keepNext w:val="0"/>
        <w:keepLines w:val="0"/>
        <w:widowControl/>
        <w:suppressLineNumbers w:val="0"/>
        <w:pBdr>
          <w:top w:val="none" w:color="auto" w:sz="0" w:space="0"/>
          <w:left w:val="none" w:color="auto" w:sz="0" w:space="0"/>
          <w:bottom w:val="dashed" w:color="EDEDED" w:sz="4" w:space="0"/>
          <w:right w:val="none" w:color="auto" w:sz="0" w:space="0"/>
        </w:pBdr>
        <w:shd w:val="clear" w:fill="FFFFFF"/>
        <w:spacing w:before="0" w:beforeAutospacing="0" w:after="0" w:afterAutospacing="0" w:line="432" w:lineRule="auto"/>
        <w:ind w:left="288" w:right="288"/>
        <w:jc w:val="left"/>
        <w:rPr>
          <w:rFonts w:hint="eastAsia" w:ascii="仿宋" w:hAnsi="仿宋" w:eastAsia="仿宋" w:cs="仿宋"/>
          <w:color w:val="333333"/>
          <w:sz w:val="32"/>
          <w:szCs w:val="32"/>
        </w:rPr>
      </w:pPr>
      <w:r>
        <w:rPr>
          <w:rFonts w:hint="eastAsia" w:ascii="仿宋" w:hAnsi="仿宋" w:eastAsia="仿宋" w:cs="仿宋"/>
          <w:color w:val="333333"/>
          <w:kern w:val="0"/>
          <w:sz w:val="32"/>
          <w:szCs w:val="32"/>
          <w:bdr w:val="none" w:color="auto" w:sz="0" w:space="0"/>
          <w:shd w:val="clear" w:fill="FFFFFF"/>
          <w:lang w:val="en-US" w:eastAsia="zh-CN" w:bidi="ar"/>
        </w:rPr>
        <w:t>【字体：</w:t>
      </w:r>
      <w:r>
        <w:rPr>
          <w:rFonts w:hint="eastAsia" w:ascii="仿宋" w:hAnsi="仿宋" w:eastAsia="仿宋" w:cs="仿宋"/>
          <w:color w:val="333333"/>
          <w:kern w:val="0"/>
          <w:sz w:val="32"/>
          <w:szCs w:val="32"/>
          <w:u w:val="none"/>
          <w:bdr w:val="none" w:color="auto" w:sz="0" w:space="0"/>
          <w:shd w:val="clear" w:fill="FFFFFF"/>
          <w:lang w:val="en-US" w:eastAsia="zh-CN" w:bidi="ar"/>
        </w:rPr>
        <w:fldChar w:fldCharType="begin"/>
      </w:r>
      <w:r>
        <w:rPr>
          <w:rFonts w:hint="eastAsia" w:ascii="仿宋" w:hAnsi="仿宋" w:eastAsia="仿宋" w:cs="仿宋"/>
          <w:color w:val="333333"/>
          <w:kern w:val="0"/>
          <w:sz w:val="32"/>
          <w:szCs w:val="32"/>
          <w:u w:val="none"/>
          <w:bdr w:val="none" w:color="auto" w:sz="0" w:space="0"/>
          <w:shd w:val="clear" w:fill="FFFFFF"/>
          <w:lang w:val="en-US" w:eastAsia="zh-CN" w:bidi="ar"/>
        </w:rPr>
        <w:instrText xml:space="preserve"> HYPERLINK "http://www.mca.gov.cn/article/gk/jytabljggk/zxwyta/201811/javascript:doZoom(20)" </w:instrText>
      </w:r>
      <w:r>
        <w:rPr>
          <w:rFonts w:hint="eastAsia" w:ascii="仿宋" w:hAnsi="仿宋" w:eastAsia="仿宋" w:cs="仿宋"/>
          <w:color w:val="333333"/>
          <w:kern w:val="0"/>
          <w:sz w:val="32"/>
          <w:szCs w:val="32"/>
          <w:u w:val="none"/>
          <w:bdr w:val="none" w:color="auto" w:sz="0" w:space="0"/>
          <w:shd w:val="clear" w:fill="FFFFFF"/>
          <w:lang w:val="en-US" w:eastAsia="zh-CN" w:bidi="ar"/>
        </w:rPr>
        <w:fldChar w:fldCharType="separate"/>
      </w:r>
      <w:r>
        <w:rPr>
          <w:rStyle w:val="9"/>
          <w:rFonts w:hint="eastAsia" w:ascii="仿宋" w:hAnsi="仿宋" w:eastAsia="仿宋" w:cs="仿宋"/>
          <w:color w:val="333333"/>
          <w:sz w:val="32"/>
          <w:szCs w:val="32"/>
          <w:u w:val="none"/>
          <w:bdr w:val="none" w:color="auto" w:sz="0" w:space="0"/>
          <w:shd w:val="clear" w:fill="FFFFFF"/>
        </w:rPr>
        <w:t>大</w:t>
      </w:r>
      <w:r>
        <w:rPr>
          <w:rFonts w:hint="eastAsia" w:ascii="仿宋" w:hAnsi="仿宋" w:eastAsia="仿宋" w:cs="仿宋"/>
          <w:color w:val="333333"/>
          <w:kern w:val="0"/>
          <w:sz w:val="32"/>
          <w:szCs w:val="32"/>
          <w:u w:val="none"/>
          <w:bdr w:val="none" w:color="auto" w:sz="0" w:space="0"/>
          <w:shd w:val="clear" w:fill="FFFFFF"/>
          <w:lang w:val="en-US" w:eastAsia="zh-CN" w:bidi="ar"/>
        </w:rPr>
        <w:fldChar w:fldCharType="end"/>
      </w:r>
      <w:r>
        <w:rPr>
          <w:rFonts w:hint="eastAsia" w:ascii="仿宋" w:hAnsi="仿宋" w:eastAsia="仿宋" w:cs="仿宋"/>
          <w:color w:val="333333"/>
          <w:kern w:val="0"/>
          <w:sz w:val="32"/>
          <w:szCs w:val="32"/>
          <w:bdr w:val="none" w:color="auto" w:sz="0" w:space="0"/>
          <w:shd w:val="clear" w:fill="FFFFFF"/>
          <w:lang w:val="en-US" w:eastAsia="zh-CN" w:bidi="ar"/>
        </w:rPr>
        <w:t>  </w:t>
      </w:r>
      <w:r>
        <w:rPr>
          <w:rFonts w:hint="eastAsia" w:ascii="仿宋" w:hAnsi="仿宋" w:eastAsia="仿宋" w:cs="仿宋"/>
          <w:color w:val="333333"/>
          <w:kern w:val="0"/>
          <w:sz w:val="32"/>
          <w:szCs w:val="32"/>
          <w:u w:val="none"/>
          <w:bdr w:val="none" w:color="auto" w:sz="0" w:space="0"/>
          <w:shd w:val="clear" w:fill="FFFFFF"/>
          <w:lang w:val="en-US" w:eastAsia="zh-CN" w:bidi="ar"/>
        </w:rPr>
        <w:fldChar w:fldCharType="begin"/>
      </w:r>
      <w:r>
        <w:rPr>
          <w:rFonts w:hint="eastAsia" w:ascii="仿宋" w:hAnsi="仿宋" w:eastAsia="仿宋" w:cs="仿宋"/>
          <w:color w:val="333333"/>
          <w:kern w:val="0"/>
          <w:sz w:val="32"/>
          <w:szCs w:val="32"/>
          <w:u w:val="none"/>
          <w:bdr w:val="none" w:color="auto" w:sz="0" w:space="0"/>
          <w:shd w:val="clear" w:fill="FFFFFF"/>
          <w:lang w:val="en-US" w:eastAsia="zh-CN" w:bidi="ar"/>
        </w:rPr>
        <w:instrText xml:space="preserve"> HYPERLINK "http://www.mca.gov.cn/article/gk/jytabljggk/zxwyta/201811/javascript:doZoom(16)" </w:instrText>
      </w:r>
      <w:r>
        <w:rPr>
          <w:rFonts w:hint="eastAsia" w:ascii="仿宋" w:hAnsi="仿宋" w:eastAsia="仿宋" w:cs="仿宋"/>
          <w:color w:val="333333"/>
          <w:kern w:val="0"/>
          <w:sz w:val="32"/>
          <w:szCs w:val="32"/>
          <w:u w:val="none"/>
          <w:bdr w:val="none" w:color="auto" w:sz="0" w:space="0"/>
          <w:shd w:val="clear" w:fill="FFFFFF"/>
          <w:lang w:val="en-US" w:eastAsia="zh-CN" w:bidi="ar"/>
        </w:rPr>
        <w:fldChar w:fldCharType="separate"/>
      </w:r>
      <w:r>
        <w:rPr>
          <w:rStyle w:val="9"/>
          <w:rFonts w:hint="eastAsia" w:ascii="仿宋" w:hAnsi="仿宋" w:eastAsia="仿宋" w:cs="仿宋"/>
          <w:color w:val="333333"/>
          <w:sz w:val="32"/>
          <w:szCs w:val="32"/>
          <w:u w:val="none"/>
          <w:bdr w:val="none" w:color="auto" w:sz="0" w:space="0"/>
          <w:shd w:val="clear" w:fill="FFFFFF"/>
        </w:rPr>
        <w:t>中</w:t>
      </w:r>
      <w:r>
        <w:rPr>
          <w:rFonts w:hint="eastAsia" w:ascii="仿宋" w:hAnsi="仿宋" w:eastAsia="仿宋" w:cs="仿宋"/>
          <w:color w:val="333333"/>
          <w:kern w:val="0"/>
          <w:sz w:val="32"/>
          <w:szCs w:val="32"/>
          <w:u w:val="none"/>
          <w:bdr w:val="none" w:color="auto" w:sz="0" w:space="0"/>
          <w:shd w:val="clear" w:fill="FFFFFF"/>
          <w:lang w:val="en-US" w:eastAsia="zh-CN" w:bidi="ar"/>
        </w:rPr>
        <w:fldChar w:fldCharType="end"/>
      </w:r>
      <w:r>
        <w:rPr>
          <w:rFonts w:hint="eastAsia" w:ascii="仿宋" w:hAnsi="仿宋" w:eastAsia="仿宋" w:cs="仿宋"/>
          <w:color w:val="333333"/>
          <w:kern w:val="0"/>
          <w:sz w:val="32"/>
          <w:szCs w:val="32"/>
          <w:bdr w:val="none" w:color="auto" w:sz="0" w:space="0"/>
          <w:shd w:val="clear" w:fill="FFFFFF"/>
          <w:lang w:val="en-US" w:eastAsia="zh-CN" w:bidi="ar"/>
        </w:rPr>
        <w:t>  </w:t>
      </w:r>
      <w:r>
        <w:rPr>
          <w:rFonts w:hint="eastAsia" w:ascii="仿宋" w:hAnsi="仿宋" w:eastAsia="仿宋" w:cs="仿宋"/>
          <w:color w:val="333333"/>
          <w:kern w:val="0"/>
          <w:sz w:val="32"/>
          <w:szCs w:val="32"/>
          <w:u w:val="none"/>
          <w:bdr w:val="none" w:color="auto" w:sz="0" w:space="0"/>
          <w:shd w:val="clear" w:fill="FFFFFF"/>
          <w:lang w:val="en-US" w:eastAsia="zh-CN" w:bidi="ar"/>
        </w:rPr>
        <w:fldChar w:fldCharType="begin"/>
      </w:r>
      <w:r>
        <w:rPr>
          <w:rFonts w:hint="eastAsia" w:ascii="仿宋" w:hAnsi="仿宋" w:eastAsia="仿宋" w:cs="仿宋"/>
          <w:color w:val="333333"/>
          <w:kern w:val="0"/>
          <w:sz w:val="32"/>
          <w:szCs w:val="32"/>
          <w:u w:val="none"/>
          <w:bdr w:val="none" w:color="auto" w:sz="0" w:space="0"/>
          <w:shd w:val="clear" w:fill="FFFFFF"/>
          <w:lang w:val="en-US" w:eastAsia="zh-CN" w:bidi="ar"/>
        </w:rPr>
        <w:instrText xml:space="preserve"> HYPERLINK "http://www.mca.gov.cn/article/gk/jytabljggk/zxwyta/201811/javascript:doZoom(14)" </w:instrText>
      </w:r>
      <w:r>
        <w:rPr>
          <w:rFonts w:hint="eastAsia" w:ascii="仿宋" w:hAnsi="仿宋" w:eastAsia="仿宋" w:cs="仿宋"/>
          <w:color w:val="333333"/>
          <w:kern w:val="0"/>
          <w:sz w:val="32"/>
          <w:szCs w:val="32"/>
          <w:u w:val="none"/>
          <w:bdr w:val="none" w:color="auto" w:sz="0" w:space="0"/>
          <w:shd w:val="clear" w:fill="FFFFFF"/>
          <w:lang w:val="en-US" w:eastAsia="zh-CN" w:bidi="ar"/>
        </w:rPr>
        <w:fldChar w:fldCharType="separate"/>
      </w:r>
      <w:r>
        <w:rPr>
          <w:rStyle w:val="9"/>
          <w:rFonts w:hint="eastAsia" w:ascii="仿宋" w:hAnsi="仿宋" w:eastAsia="仿宋" w:cs="仿宋"/>
          <w:color w:val="333333"/>
          <w:sz w:val="32"/>
          <w:szCs w:val="32"/>
          <w:u w:val="none"/>
          <w:bdr w:val="none" w:color="auto" w:sz="0" w:space="0"/>
          <w:shd w:val="clear" w:fill="FFFFFF"/>
        </w:rPr>
        <w:t>小</w:t>
      </w:r>
      <w:r>
        <w:rPr>
          <w:rFonts w:hint="eastAsia" w:ascii="仿宋" w:hAnsi="仿宋" w:eastAsia="仿宋" w:cs="仿宋"/>
          <w:color w:val="333333"/>
          <w:kern w:val="0"/>
          <w:sz w:val="32"/>
          <w:szCs w:val="32"/>
          <w:u w:val="none"/>
          <w:bdr w:val="none" w:color="auto" w:sz="0" w:space="0"/>
          <w:shd w:val="clear" w:fill="FFFFFF"/>
          <w:lang w:val="en-US" w:eastAsia="zh-CN" w:bidi="ar"/>
        </w:rPr>
        <w:fldChar w:fldCharType="end"/>
      </w:r>
      <w:r>
        <w:rPr>
          <w:rFonts w:hint="eastAsia" w:ascii="仿宋" w:hAnsi="仿宋" w:eastAsia="仿宋" w:cs="仿宋"/>
          <w:color w:val="333333"/>
          <w:kern w:val="0"/>
          <w:sz w:val="32"/>
          <w:szCs w:val="32"/>
          <w:bdr w:val="none" w:color="auto" w:sz="0" w:space="0"/>
          <w:shd w:val="clear" w:fill="FFFFFF"/>
          <w:lang w:val="en-US" w:eastAsia="zh-CN" w:bidi="ar"/>
        </w:rPr>
        <w:t>】</w:t>
      </w:r>
      <w:r>
        <w:rPr>
          <w:rFonts w:hint="eastAsia" w:ascii="仿宋" w:hAnsi="仿宋" w:eastAsia="仿宋" w:cs="仿宋"/>
          <w:kern w:val="0"/>
          <w:sz w:val="32"/>
          <w:szCs w:val="32"/>
          <w:bdr w:val="none" w:color="auto" w:sz="0" w:space="0"/>
          <w:shd w:val="clear" w:fill="FFFFFF"/>
          <w:lang w:val="en-US" w:eastAsia="zh-CN" w:bidi="ar"/>
        </w:rPr>
        <w:fldChar w:fldCharType="begin"/>
      </w:r>
      <w:r>
        <w:rPr>
          <w:rFonts w:hint="eastAsia" w:ascii="仿宋" w:hAnsi="仿宋" w:eastAsia="仿宋" w:cs="仿宋"/>
          <w:kern w:val="0"/>
          <w:sz w:val="32"/>
          <w:szCs w:val="32"/>
          <w:bdr w:val="none" w:color="auto" w:sz="0" w:space="0"/>
          <w:shd w:val="clear" w:fill="FFFFFF"/>
          <w:lang w:val="en-US" w:eastAsia="zh-CN" w:bidi="ar"/>
        </w:rPr>
        <w:instrText xml:space="preserve"> HYPERLINK "http://www.mca.gov.cn/article/gk/jytabljggk/zxwyta/201811/javascript:printloc()" </w:instrText>
      </w:r>
      <w:r>
        <w:rPr>
          <w:rFonts w:hint="eastAsia" w:ascii="仿宋" w:hAnsi="仿宋" w:eastAsia="仿宋" w:cs="仿宋"/>
          <w:kern w:val="0"/>
          <w:sz w:val="32"/>
          <w:szCs w:val="32"/>
          <w:bdr w:val="none" w:color="auto" w:sz="0" w:space="0"/>
          <w:shd w:val="clear" w:fill="FFFFFF"/>
          <w:lang w:val="en-US" w:eastAsia="zh-CN" w:bidi="ar"/>
        </w:rPr>
        <w:fldChar w:fldCharType="separate"/>
      </w:r>
      <w:r>
        <w:rPr>
          <w:rStyle w:val="9"/>
          <w:rFonts w:hint="eastAsia" w:ascii="仿宋" w:hAnsi="仿宋" w:eastAsia="仿宋" w:cs="仿宋"/>
          <w:sz w:val="32"/>
          <w:szCs w:val="32"/>
          <w:bdr w:val="none" w:color="auto" w:sz="0" w:space="0"/>
          <w:shd w:val="clear" w:fill="FFFFFF"/>
        </w:rPr>
        <w:t>打印</w:t>
      </w:r>
      <w:r>
        <w:rPr>
          <w:rFonts w:hint="eastAsia" w:ascii="仿宋" w:hAnsi="仿宋" w:eastAsia="仿宋" w:cs="仿宋"/>
          <w:kern w:val="0"/>
          <w:sz w:val="32"/>
          <w:szCs w:val="32"/>
          <w:bdr w:val="none" w:color="auto" w:sz="0" w:space="0"/>
          <w:shd w:val="clear" w:fill="FFFFFF"/>
          <w:lang w:val="en-US" w:eastAsia="zh-CN" w:bidi="ar"/>
        </w:rPr>
        <w:fldChar w:fldCharType="end"/>
      </w:r>
      <w:r>
        <w:rPr>
          <w:rFonts w:hint="eastAsia" w:ascii="仿宋" w:hAnsi="仿宋" w:eastAsia="仿宋" w:cs="仿宋"/>
          <w:color w:val="333333"/>
          <w:kern w:val="0"/>
          <w:sz w:val="32"/>
          <w:szCs w:val="32"/>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color w:val="333333"/>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shd w:val="clear" w:fill="FFFFFF"/>
        </w:rPr>
        <w:t>民函〔2018〕704号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仿宋" w:hAnsi="仿宋" w:eastAsia="仿宋" w:cs="仿宋"/>
          <w:sz w:val="32"/>
          <w:szCs w:val="32"/>
        </w:rPr>
      </w:pPr>
      <w:r>
        <w:rPr>
          <w:rFonts w:hint="eastAsia" w:ascii="仿宋" w:hAnsi="仿宋" w:eastAsia="仿宋" w:cs="仿宋"/>
          <w:color w:val="333333"/>
          <w:sz w:val="32"/>
          <w:szCs w:val="32"/>
          <w:bdr w:val="none" w:color="auto" w:sz="0" w:space="0"/>
          <w:shd w:val="clear" w:fill="FFFFFF"/>
        </w:rPr>
        <w:t>梁丽萍委员：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color w:val="333333"/>
          <w:sz w:val="32"/>
          <w:szCs w:val="32"/>
          <w:bdr w:val="none" w:color="auto" w:sz="0" w:space="0"/>
          <w:shd w:val="clear" w:fill="FFFFFF"/>
        </w:rPr>
        <w:t>您提出的“关于成立第三方老年人能力评估机构的提案”收悉。您的建议对于深化养老服务供给侧改革，更有针对性地满足老年人个性化需求，提高财政性资金使用效益，有效化解养老服务纠纷，更好地保护老年人合法权益具有重要参考作用。经商财政部、人力资源社会保障部、卫生健康委，现答复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color w:val="333333"/>
          <w:sz w:val="32"/>
          <w:szCs w:val="32"/>
          <w:bdr w:val="none" w:color="auto" w:sz="0" w:space="0"/>
          <w:shd w:val="clear" w:fill="FFFFFF"/>
        </w:rPr>
        <w:t>我国是人口老龄化发展速度最快的国家之一，老年人口基数大、失能比例高。截至2017年底，我国60岁以上的老年人口达2.4亿，占总人口的17.3%。积极应对人口老龄化已经成为我国的一项长期战略任务。党的十八大以来，习近平总书记、李克强总理多次主持会议专题研究，做出一系列重要指示批示。民政部等部门深入学习贯彻党中央、国务院决策部署，加紧完善积极应对人口老龄化顶层设计，优先保障群众基本养老需求，政府为主导、社会力量广泛参与构建的多层次养老服务体系更加完善，广大老年人共建共享水平显著提高，获得感和满意度明显增强。截至2017年底，全国各类养老服务机构和设施15.5万个，其中注册养老机构2.9万个，社区养老服务设施4.3万个，互助型养老设施8.3万个。各类养老服务床位合计744.8万张。“十二五”实现了每千名老年人拥有30张养老床位的目标，“十三五”继续保持适量增加。助餐、助浴、助急、助医等居家社区养老服务正在推开，大多数养老机构开展了医养结合服务。以居家为基础、社区为依托、机构为补充、医养相结合的养老服务体系正在加快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color w:val="333333"/>
          <w:sz w:val="32"/>
          <w:szCs w:val="32"/>
          <w:bdr w:val="none" w:color="auto" w:sz="0" w:space="0"/>
          <w:shd w:val="clear" w:fill="FFFFFF"/>
        </w:rPr>
        <w:t>《中华人民共和国老年人权益保障法》第42条规定：国务院有关部门制定养老服务设施建设、养老服务质量和养老服务职业等标准，建立健全养老机构分类管理和养老服务评估制度。民政部制定印发了《关于推进养老服务评估工作的指导意见》（民发〔2013〕127号）和《老年人能力评估》等推荐性行业标准。《财政部 发展改革委 民政部 全国老龄办关于做好政府购买养老服务工作的通知》（财社〔2014〕105号）也明确将老年人能力评估和服务需求评估的组织实施、养老服务评价等作为重点购买服务项目。从各地实施情况看，确实存在您提案中提到的第三方评估机构欠缺、标准宣贯落实不够、养老机构等级评定标准缺失、养老服务纠纷预防与处理制定不健全等问题，民政部将会同有关部门在下一步工作中积极研究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仿宋" w:hAnsi="仿宋" w:eastAsia="仿宋" w:cs="仿宋"/>
          <w:sz w:val="32"/>
          <w:szCs w:val="32"/>
        </w:rPr>
      </w:pPr>
      <w:r>
        <w:rPr>
          <w:rStyle w:val="7"/>
          <w:rFonts w:hint="eastAsia" w:ascii="仿宋" w:hAnsi="仿宋" w:eastAsia="仿宋" w:cs="仿宋"/>
          <w:color w:val="333333"/>
          <w:sz w:val="32"/>
          <w:szCs w:val="32"/>
          <w:bdr w:val="none" w:color="auto" w:sz="0" w:space="0"/>
          <w:shd w:val="clear" w:fill="FFFFFF"/>
        </w:rPr>
        <w:t>一是建立完善老年人需求评估制度。</w:t>
      </w:r>
      <w:r>
        <w:rPr>
          <w:rFonts w:hint="eastAsia" w:ascii="仿宋" w:hAnsi="仿宋" w:eastAsia="仿宋" w:cs="仿宋"/>
          <w:color w:val="333333"/>
          <w:sz w:val="32"/>
          <w:szCs w:val="32"/>
          <w:bdr w:val="none" w:color="auto" w:sz="0" w:space="0"/>
          <w:shd w:val="clear" w:fill="FFFFFF"/>
        </w:rPr>
        <w:t>采取政府购买服务、社工介入等方式，积极鼓励社会力量参与，完善评估组织模式。进一步完善评估指标体系，以确定老年人服务需求为重点，突出老年人自我照料能力评估，评估指标逐步涵盖日常行为能力、精神卫生情况、感知觉情况、社会参与状况等方面，推动建立科学、全面、开放的评估指标体系。结合长期照护服务保障制度建设进程，推动与卫生、医疗保障等部门建立统一的长期护理评估体系，科学合理确定老年人失能状况和护理服务等级。卫生健康委也将把老年人健康状况评估纳入2018年第六次全国卫生调查范围，制定符合中国老年人特点的健康分级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仿宋" w:hAnsi="仿宋" w:eastAsia="仿宋" w:cs="仿宋"/>
          <w:sz w:val="32"/>
          <w:szCs w:val="32"/>
        </w:rPr>
      </w:pPr>
      <w:r>
        <w:rPr>
          <w:rStyle w:val="7"/>
          <w:rFonts w:hint="eastAsia" w:ascii="仿宋" w:hAnsi="仿宋" w:eastAsia="仿宋" w:cs="仿宋"/>
          <w:color w:val="333333"/>
          <w:sz w:val="32"/>
          <w:szCs w:val="32"/>
          <w:bdr w:val="none" w:color="auto" w:sz="0" w:space="0"/>
          <w:shd w:val="clear" w:fill="FFFFFF"/>
        </w:rPr>
        <w:t>二是建立完善养老机构服务评估制度。</w:t>
      </w:r>
      <w:r>
        <w:rPr>
          <w:rFonts w:hint="eastAsia" w:ascii="仿宋" w:hAnsi="仿宋" w:eastAsia="仿宋" w:cs="仿宋"/>
          <w:color w:val="333333"/>
          <w:sz w:val="32"/>
          <w:szCs w:val="32"/>
          <w:bdr w:val="none" w:color="auto" w:sz="0" w:space="0"/>
          <w:shd w:val="clear" w:fill="FFFFFF"/>
        </w:rPr>
        <w:t>2018年7月18日，李克强总理主持召开国务院常务会议，研究决定取消养老机构设立许可，在提请修法后实施。取消养老机构设立许可是国务院深化养老服务业“放管服”改革、优化营商环境的重大决策部署，是进一步激发养老服务业创新活力的重要举措，体现了党中央、国务院对养老服务工作的高度重视，也对做好事中事后监管提出了更高要求。下一步将把加快建立养老机构服务评估制度作为事中事后监管的重要手段，从制定国家标准《养老机构服务质量基本规范》实施细则、《养老机构等级评定与划分》和评定管理办法等管理和服务标准入手，加快建立全国统一的服务质量标准和评价体系。同时，将评价结果向社会公开，并作为取得建设补贴、运营补贴、福利彩票公益金补助、试点项目支持、示范项目评选、表彰等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仿宋" w:hAnsi="仿宋" w:eastAsia="仿宋" w:cs="仿宋"/>
          <w:sz w:val="32"/>
          <w:szCs w:val="32"/>
        </w:rPr>
      </w:pPr>
      <w:r>
        <w:rPr>
          <w:rStyle w:val="7"/>
          <w:rFonts w:hint="eastAsia" w:ascii="仿宋" w:hAnsi="仿宋" w:eastAsia="仿宋" w:cs="仿宋"/>
          <w:color w:val="333333"/>
          <w:sz w:val="32"/>
          <w:szCs w:val="32"/>
          <w:bdr w:val="none" w:color="auto" w:sz="0" w:space="0"/>
          <w:shd w:val="clear" w:fill="FFFFFF"/>
        </w:rPr>
        <w:t>三是加强养老服务评估人员专业建设。</w:t>
      </w:r>
      <w:r>
        <w:rPr>
          <w:rFonts w:hint="eastAsia" w:ascii="仿宋" w:hAnsi="仿宋" w:eastAsia="仿宋" w:cs="仿宋"/>
          <w:color w:val="333333"/>
          <w:sz w:val="32"/>
          <w:szCs w:val="32"/>
          <w:bdr w:val="none" w:color="auto" w:sz="0" w:space="0"/>
          <w:shd w:val="clear" w:fill="FFFFFF"/>
        </w:rPr>
        <w:t>养老服务评估工作专业性强，标准比较细致，将依托专业机构、相关机构和社会组织加强评估机构建设，有条件的地方可以建立专门的评估机构。依托大中专院校、示范养老机构，加快培养评估专业人才。选择责任心强、业务素质过硬的人员参与评估，加强岗前培训，使其具备医学、心理学、社会学、法律、社会保障、社会工作等基础知识。建立养老服务评估专家队伍，积极开展技术指导，提供有力人才支持。支持有条件的地区将养老服务评估纳入政府购买范围，大力培育发展养老服务评估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color w:val="333333"/>
          <w:sz w:val="32"/>
          <w:szCs w:val="32"/>
          <w:bdr w:val="none" w:color="auto" w:sz="0" w:space="0"/>
          <w:shd w:val="clear" w:fill="FFFFFF"/>
        </w:rPr>
        <w:t>感谢您对民政工作的关心和支持。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仿宋" w:hAnsi="仿宋" w:eastAsia="仿宋" w:cs="仿宋"/>
          <w:sz w:val="32"/>
          <w:szCs w:val="32"/>
        </w:rPr>
      </w:pPr>
      <w:r>
        <w:rPr>
          <w:rFonts w:hint="eastAsia" w:ascii="仿宋" w:hAnsi="仿宋" w:eastAsia="仿宋" w:cs="仿宋"/>
          <w:color w:val="333333"/>
          <w:sz w:val="32"/>
          <w:szCs w:val="32"/>
          <w:bdr w:val="none" w:color="auto" w:sz="0" w:space="0"/>
          <w:shd w:val="clear" w:fill="FFFFFF"/>
        </w:rPr>
        <w:t>民政部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仿宋" w:hAnsi="仿宋" w:eastAsia="仿宋" w:cs="仿宋"/>
          <w:sz w:val="32"/>
          <w:szCs w:val="32"/>
        </w:rPr>
      </w:pPr>
      <w:r>
        <w:rPr>
          <w:rFonts w:hint="eastAsia" w:ascii="仿宋" w:hAnsi="仿宋" w:eastAsia="仿宋" w:cs="仿宋"/>
          <w:color w:val="333333"/>
          <w:sz w:val="32"/>
          <w:szCs w:val="32"/>
          <w:bdr w:val="none" w:color="auto" w:sz="0" w:space="0"/>
          <w:shd w:val="clear" w:fill="FFFFFF"/>
        </w:rPr>
        <w:t>                                2018年9月13日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E96377"/>
    <w:multiLevelType w:val="multilevel"/>
    <w:tmpl w:val="B0E9637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23302"/>
    <w:rsid w:val="10723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1"/>
      <w:szCs w:val="21"/>
      <w:lang w:val="en-US" w:eastAsia="zh-CN" w:bidi="ar"/>
    </w:rPr>
  </w:style>
  <w:style w:type="paragraph" w:styleId="3">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14"/>
      <w:szCs w:val="1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uiPriority w:val="0"/>
    <w:rPr>
      <w:color w:val="333333"/>
      <w:u w:val="none"/>
    </w:rPr>
  </w:style>
  <w:style w:type="character" w:customStyle="1" w:styleId="10">
    <w:name w:val="gwds_more1"/>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2020-05-25T03:32:00Z</dcterms:created>
  <dc:creator> 星月菩提</dc:creator>
  <cp:lastModifiedBy> 星月菩提</cp:lastModifiedBy>
  <dcterms:modified xsi:type="dcterms:W3CDTF">2020-05-25T03:33:53Z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